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MANDÁTNA ZMLUVA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na zabezpe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čenie poradenstva a realiz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áciu verejného obstarávania uzatvorená pod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ľa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§ 566 a nasl. zákona 6. 513/1991 Zb. Obchodný zákonník v znení neskor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š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ích predpisov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Čl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ánok I.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ZMLUVNÉ STRANY</w:t>
      </w:r>
    </w:p>
    <w:p>
      <w:pPr>
        <w:numPr>
          <w:ilvl w:val="0"/>
          <w:numId w:val="2"/>
        </w:numPr>
        <w:spacing w:before="0" w:after="0" w:line="240"/>
        <w:ind w:right="0" w:left="426" w:hanging="426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Mandant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Názov: </w:t>
        <w:tab/>
        <w:tab/>
        <w:t xml:space="preserve">Obec Ratnovce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Sídlo: </w:t>
        <w:tab/>
        <w:tab/>
        <w:tab/>
        <w:t xml:space="preserve">Ratnovce 152, 922 31 Sokolovce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ČO: </w:t>
        <w:tab/>
        <w:tab/>
        <w:tab/>
        <w:t xml:space="preserve">00 011 002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DI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Č: </w:t>
        <w:tab/>
        <w:tab/>
        <w:tab/>
        <w:t xml:space="preserve">2020 535 407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V mene ktorej koná: </w:t>
        <w:tab/>
        <w:t xml:space="preserve">Peter Gogol, starosta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ďalej len 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auto" w:val="clear"/>
        </w:rPr>
        <w:t xml:space="preserve">Mandant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auto" w:val="clear"/>
        </w:rPr>
        <w:t xml:space="preserve">”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4"/>
        </w:numPr>
        <w:spacing w:before="0" w:after="0" w:line="240"/>
        <w:ind w:right="0" w:left="426" w:hanging="426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Mandatár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Názov: </w:t>
        <w:tab/>
        <w:tab/>
        <w:t xml:space="preserve">STUDNICA, n.o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Sídlo: </w:t>
        <w:tab/>
        <w:tab/>
        <w:tab/>
        <w:t xml:space="preserve">Ko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šick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 56, 821 08 Bratislava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ČO:      </w:t>
        <w:tab/>
        <w:tab/>
        <w:t xml:space="preserve">42 053 064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DI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Č: </w:t>
        <w:tab/>
        <w:tab/>
        <w:tab/>
        <w:t xml:space="preserve">2022 973 502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V mene ktorej koná: </w:t>
        <w:tab/>
        <w:t xml:space="preserve">Ing. Zuzana Lenická, konate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ľ</w:t>
      </w:r>
    </w:p>
    <w:p>
      <w:pPr>
        <w:spacing w:before="0" w:after="0" w:line="240"/>
        <w:ind w:right="0" w:left="2160" w:hanging="21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Register:</w:t>
        <w:tab/>
        <w:t xml:space="preserve">Okresný úrad Bratislava, Odbor 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šeobecnej vn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útornej správy, v registri neziskových  organizácií pod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íslom OVVS-34704/465/2015-NO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ďalej len 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auto" w:val="clear"/>
        </w:rPr>
        <w:t xml:space="preserve">Mandat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auto" w:val="clear"/>
        </w:rPr>
        <w:t xml:space="preserve">ár”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sa dohodli na uzatvorení tejto mandátnej zmluvy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ďalej len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auto" w:val="clear"/>
        </w:rPr>
        <w:t xml:space="preserve">Zmluva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”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Čl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ánok II.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PREDMET ZMLUVY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0"/>
        </w:numPr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Predmetom tejto Zmluvy je záväzok Mandatára poskytnú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ť Mandantovi na 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áklade ústnej a/alebo písomnej po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žiadavky Mandanta odborn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 poradenské a konzulta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 slu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žby a vykonať činnosti v oblasti verejn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ého obstarávania pre zákazku verejného obstarávania alebo zákazky verejného obstarávania uvedené v prílohe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č. 1 tejto Zmluvy tak, aby tieto boli vykonan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 v súlade so zákonom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č. 343/2015 Z. z. o verejnom obstar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ávaní a o zmene a doplnení niektorých zákonov v znení zákona 438/2015 Z.z.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ďalej len 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auto" w:val="clear"/>
        </w:rPr>
        <w:t xml:space="preserve">ZVO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auto" w:val="clear"/>
        </w:rPr>
        <w:t xml:space="preserve">“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 a ostatných 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šeobecne 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áväzných právnych predpisov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ďalej len 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auto" w:val="clear"/>
        </w:rPr>
        <w:t xml:space="preserve">Poskytovanie slu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auto" w:val="clear"/>
        </w:rPr>
        <w:t xml:space="preserve">žieb”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); a 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áväzok Mandanta zaplati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ť Mandat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árovi za Poskytovanie slu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žieb dohodnut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ú odmenu.</w:t>
      </w:r>
    </w:p>
    <w:p>
      <w:pPr>
        <w:spacing w:before="0" w:after="0" w:line="240"/>
        <w:ind w:right="0" w:left="426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2"/>
        </w:numPr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Poskytovanie slu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žieb zahŕňa všetky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úkony spojené s realizáciou postupov na základe ZVO pre zadávanie zákaziek na dodanie tovaru, zákaziek na uskuto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čňovanie stavebn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ých prác, zákaziek na poskytnutie slu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žieb a 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ťaže 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ávrhov, a to od prípravy, vyhlásenia 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 po ukončenie tak, aby boli splnen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 podmienky ZVO, iných 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šeobecne 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áväzných právnych predpisov a predpisov sú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ťažn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ého práva Európskej únie. Poskytovanie slu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žieb zahŕňa aj odborn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 poradenstvo pre riadne plnenie predmetu pod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ľa tejto Zmluvy.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Čl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ánok III.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ODMENA A NÁHRADA NÁKLADOV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6"/>
        </w:numPr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Mandant sa zaväzuje zaplati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ť Mandat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árovi za Poskytovanie slu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žieb odmenu vo 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ške 1 000,00.- EUR (slovom jeden tisíc euro nula centov). Mandat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ár nie je platcom DPH.  </w:t>
      </w:r>
    </w:p>
    <w:p>
      <w:pPr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8"/>
        </w:numPr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Odmena dohodnutá v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Čl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ánku III. bod 1. tejto zmluvy je stanovená dohodou zmluvných strán v zmysle zákona NR SR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č.18/1996 Z. z. o cen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ách v znení neskor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š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ích predpisov, vyhlá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šky MF SR č.87/1996 Z. z., ktorou sa tento 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ákon vykonáva, ako aj pod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ľa 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ákona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č. 659/2007 Z. z. o zaveden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meny euro v Slovenskej republike a o zmene a doplnení niektorých zákonov pri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čom zahŕňa všetky 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áklady, ktoré Mandatár nevyhnutne alebo 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čelne vynaložil pri poskytovan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slu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žieb.</w:t>
      </w:r>
    </w:p>
    <w:p>
      <w:pPr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0"/>
        </w:numPr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Odmena dohodnutá v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Čl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ánku III. bod 1. tejto zmluvy je splatná na základe faktúry</w:t>
        <w:br/>
        <w:t xml:space="preserve">vystavenej Mandatárom so splatnos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ťou 10 dn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odo 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ňa jej odoslania. Fakt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úra musí obsahova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ť 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ále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žitosti daňov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ého dokladu pod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ľa osobitn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ých predpisov. </w:t>
      </w:r>
    </w:p>
    <w:p>
      <w:pPr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2"/>
        </w:numPr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Nárok na odmenu vzniká uplynutím 5 pracovných dní po odoslaní Oznámenia o výsledku vyhodnotenia ponúk uchádza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čom, ak neboli uplatnen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 revízne postupy pod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ľa ZVO alebo riadne opravn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 prostriedky pod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ľa osobitn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ých predpisov; inak 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ňom pr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ávoplatného rozhodnutia správneho orgánu v poslednom stupni o revíznom postupe alebo opravnom prostriedku. V prípade vyu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žitia elektronick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ého trhoviska pod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ľa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§ 109 a násl. ZVO, nárok na fakturáciu vzniká v de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ň zverejnenia zmluvy s 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ťazn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ým uchádza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čom v Centr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álnom registri zmlúv pod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ľa 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ákona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č. 211/2000 Z.z. o slobodnom pr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ístupe k informáciám a o zmene a doplnení niektorých zákonov (zákon o slobode informácií).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Čl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ánok IV.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DOBA TRVANIA ZMLUVY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5"/>
        </w:numPr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Táto Zmluva sa uzatvára na dobu ur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čit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ú, a to do 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ňa ukončenia Poskytovania služieb.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Čl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ánok V.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POVINNOSTI ZMLUVNÝCH STRÁN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9"/>
        </w:numPr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Mandatár je povinný Poskytova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ť služby na 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áklade tejto Zmluvy, pri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čom Mandant urč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svojho zamestnanca alebo inú osobu (kontaktná osoba) na vykonávanie úkonov pod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ľa tejto Zmluvy.</w:t>
      </w:r>
    </w:p>
    <w:p>
      <w:pPr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1"/>
        </w:numPr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Mandatár je povinný Poskytova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ť služby osobne a na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čet Mandanta. Mandant vystav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pre Mandatára splnomocnenie na riadne Poskytovanie slu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žieb. Splnomocnenie tvor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prílohu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č. 2 tejto Zmluvy.</w:t>
      </w:r>
    </w:p>
    <w:p>
      <w:pPr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3"/>
        </w:numPr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Mandatár je povinný postupova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ť pri Poskytovan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slu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žieb s odbornou starostlivosťou, v 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áujme Mandanta a pod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ľa jeho pokynov.</w:t>
      </w:r>
    </w:p>
    <w:p>
      <w:pPr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5"/>
        </w:numPr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Mandatár je povinný oznámi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ť Mandantovi všetky okolnosti, ktor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 zistil pri poskytovaní slu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žieb a ktor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 mô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žu mať vplyv na plnenie podľa Zmluvy.</w:t>
      </w:r>
    </w:p>
    <w:p>
      <w:pPr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7"/>
        </w:numPr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Od pokynov Mandanta sa Mandatár mô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že odch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ýli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ť len vtedy, ak je to naliehavo nevyhnutn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 v záujme Mandanta a Mandatár nemô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že včas dostať jeho 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úhlas. </w:t>
      </w:r>
    </w:p>
    <w:p>
      <w:pPr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9"/>
        </w:numPr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Mandant je povinný poskytnú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ť 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úhlas s odchýlením sa od pokynov, ak ho Mandatár písomne upozorní na ich zrejmú nevhodnos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ť alebo nespr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ávnos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ť a vec neznesie odklad, inak Mandat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ár nenesie zodpovednos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ť za pr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ípadnú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škodu sp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ôsobenú Poskytovaním slu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žby. </w:t>
      </w:r>
    </w:p>
    <w:p>
      <w:pPr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41"/>
        </w:numPr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Mandatár nezodpovedá za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škody, ktor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 boli spôsobené pou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žit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ím informácií prevzatých od Mandanta a Mandatár ani pri vynalo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žen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šetkej odbornej starostlivosti nemohol zistiť ich nevhodnosť, pr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ípadne na ne upozornil, pri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čom Mandant na ich použit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trval.</w:t>
      </w:r>
    </w:p>
    <w:p>
      <w:pPr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43"/>
        </w:numPr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Mandant je povinný s Mandatárom spolupracova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ť, najm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ä je povinný 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čas a riadne určiť pr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íslu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šn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ú kontaktnú osobu, odovzda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ť Mandat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árovi informácie potrebné pre Poskytovanie slu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žby a obozn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ámi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ť ho s možn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ými obmedzeniami pri plnení pod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ľa tejto Zmluvy. </w:t>
      </w:r>
    </w:p>
    <w:p>
      <w:pPr>
        <w:spacing w:before="0" w:after="0" w:line="240"/>
        <w:ind w:right="0" w:left="426" w:hanging="426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45"/>
        </w:numPr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Mandant je povinný Mandatárovi doda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ť opis predmetu 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ákazky a obchodné podmienky, ktoré majú tvori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ť 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časť dokument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ácie pod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ľa ZVO. V pr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ípade, ak je predmetom zákazy zhotovenie stavby, resp. stavebné práce, je Mandant povinný predlo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žiť Mandat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árovi opis predmetu zákazky v podobe stavebného rozpo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čtu a položkov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ého výkazu výmer v listinnej a elektronickej podobe; a ak je to nevyhnutné, príslu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šn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ú výkresovú dokumentáciu. V prípade, ak bolo vydané stavebné povolenie pod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ľa osobitn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ého predpisu, predlo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uvedenú dokumentáciu overenú v stavebnom konaní. Ak je predmetom zákazy dodanie tovarov, je Mandant povinný predlo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žiť Mandat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árovi opis predmetu zákazky v podobe polo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žkov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ých technických parametrov charakteristických pre daný typ tovaru s vyzna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čen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ím maximálnych a minimálnych po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žadovan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ých hodnôt v listinnej a elektronickej podobe; a ak je to nevyhnutné, príslu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šn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ú výkresovú dokumentáciu.</w:t>
      </w:r>
    </w:p>
    <w:p>
      <w:pPr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47"/>
        </w:numPr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Za Poskytovanie slu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žby je Mandant povinn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ý zaplati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ť Mandat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árovi odmenu dohodnutú v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čl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ánku III. bod 1. tejto Zmluvy. Ak Mandant rozhodne o ukon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čen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Poskytovania slu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žby bez toho, aby nastali skutočnosti uveden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 v bode 4.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čl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ánku III, stáva sa odmena Mandatára splatnou. </w:t>
      </w:r>
    </w:p>
    <w:p>
      <w:pPr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49"/>
        </w:numPr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Dodr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žanie leh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ôt a termínov ur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čen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ých ZVO alebo osobitnými predpismi pre Poskytovanie slu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žby je 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ávislé od riadneho a 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časn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ého spolupôsobenia Mandanta. Po dobu  ome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škania Mandanta s poskytovan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ím spolupôsobenia nie je Mandatár v oneskorení s plnením povinností pod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ľa tejto Zmluvy.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Čl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ánok VI.</w:t>
        <w:br/>
        <w:t xml:space="preserve">ML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ČANLIVOSŤ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53"/>
        </w:numPr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Mandatár sa zaväzuje zachováva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ť mlčanlivosť o všetk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ých skuto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čnostiach, o ktor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ých sa dozvedel pri Poskytovaní slu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žieb a ktor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 Mandant ozna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čil za 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ôverné.</w:t>
      </w:r>
    </w:p>
    <w:p>
      <w:pPr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55"/>
        </w:numPr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Za dôverné skuto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čnosti sa považuj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ú informácie, ktoré súvisia s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činnosťou Mandanta a nie 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ú be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žne dostupn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 a majú by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ť podľa rozhodnutia Mandanta utajen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é, alebo ktoré Mandant za dôverné výslovne ozna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í.</w:t>
      </w:r>
    </w:p>
    <w:p>
      <w:pPr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57"/>
        </w:numPr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Povinnos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ť zachov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áva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ť mlčanlivosť podľa tohto čl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ánku trvá aj po ukon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čen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činnosti tejto Zmluvy.</w:t>
      </w:r>
    </w:p>
    <w:p>
      <w:pPr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Čl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ánok VII.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UKON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ČENIE PLNENIA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61"/>
        </w:numPr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Zmluvu je mo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 ukon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čiť p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ísomnou dohodou zmluvných strán, výpove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ďou Mandanta alebo Mandat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ára.</w:t>
      </w:r>
    </w:p>
    <w:p>
      <w:pPr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63"/>
        </w:numPr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Mandant mô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že Zmluvu kedykoľvek čiastočne alebo v celom rozsahu vypovedať. Ak 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ýpove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ď neurčuje neskoršiu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činnosť, nadob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úda 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činnosť dňom, keď sa o nej Mandat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ár dozvedel. Od 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činnosti 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ýpovede je Mandatár povinný nepokra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čovať v činnosti, na ktor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ú sa výpove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ď vzťahuje. Je však povinn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ý Mandanta upozorni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ť na opatrenia potrebn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 na to aby sa zabránilo vzniku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škody bezprostredne hroziacej Mandantovi nedokončen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ím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činnosti 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úvisiacej so zria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ďovan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ím zále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žitosti. Za činnosť riadne uskutočnen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ú do 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činnosti 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ýpovede má Mandatár nárok na primeranú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časť odmeny.</w:t>
      </w:r>
    </w:p>
    <w:p>
      <w:pPr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65"/>
        </w:numPr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Mandatár mô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že Zmluvu vypovedať s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činnosťou ku koncu kalend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árneho mesiaca nasledujúceho po mesiaci, v ktorom bola výpove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ď doručen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 Mandantovi, ak z výpovede nevyplýva neskor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š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čas. Ku dňu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činnosti 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ýpovede zaniká záväzok Mandatára uskuto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čňovať činnosť, na ktor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ú sa zaviazal. Ak by týmto preru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šen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ím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činnosti vznikla Mandantovi škoda, je Mandat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ár povinný ho upozorni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ť, ak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 opatrenia treba urobi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ť na jej odvr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átenie. Ak Mandant tieto opatrenia nemô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že urobiť ani pomocou in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ých osôb a po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žiada Mandat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ára, aby ich urobil sám, je Mandatár na to povinný. Oh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ľadne činnosti uskutočnenej odo dňa 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ýpovede do jej 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činnosti a uskutočnenej podľa predch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ádzajúcej vety má Mandatár nárok na úhradu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časti odmeny primeranej 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ýsledku dosiahnutému pri zaria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ďovan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zále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žitosti.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Čl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ánok VIII.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DORU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ČOVANIE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69"/>
        </w:numPr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Zmluvné strany sa dohodli,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že ak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éko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ľvek p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ísomnosti spojené s touto Zmluvou musia by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ť doručen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 písomne druhej zmluvnej strane na adresu sídla uvedenú v tejto Zmluve.  Za písomnú formu sa v tomto prípade pova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žuje aj elektronick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 po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šta. Doručenie takto zaslanej pošty mus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by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ť druhou stranou potvrden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 v lehote 24 hodín, pri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čom do tejto lehoty sa nezapoč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ítavajú hodiny pracovného vo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ľna, pracovn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ého pokoja a sviatkov. V prípade vyu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žitia elektronickej pošty, m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 odosielate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ľ povinnosť najnesk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ôr v lehote 2 pracovných dní zasla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ť tieto p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ísomnosti aj formou po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štovej prepravy, pokiaľ je to nevyhnutn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é. V prípade zmeny sídla je príslu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šn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 zmluvná strana túto zmenu písomne oznámi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ť druhej zmluvnej strane v 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úlade s týmto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čl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ánkom, inak sa na zmenu sídla z h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ľadiska doručovania p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ísomností na 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čely tejto zmluvy nebude prihliadať.</w:t>
      </w:r>
    </w:p>
    <w:p>
      <w:pPr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71"/>
        </w:numPr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šetky p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ísomnosti súvisiace s touto Zmluvou doru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čovan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 formou po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štovej prepravy musia byť druhej zmluvnej strane doručovan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 doporu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čene. V pr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ípade osobného doru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čenia p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ísomností adresát písomne potvrdí  prevzatie písomností.</w:t>
      </w:r>
    </w:p>
    <w:p>
      <w:pPr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73"/>
        </w:numPr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Zmluvné strany sa dohodli,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že v pr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ípade pochybností písomnos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ť sa považuje za prijat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ú druhou zmluvnou stranou 7. 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ňom odo dňa jej odoslania v 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úlade s týmto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čl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ánkom a to aj v prípade, ak si príslu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šn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 zmluvná strana písomnos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ť v tejto lehote neprevzala, pr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ípadne jej prevzatie odmietla. V prípade osobného prevzatia písomnosti sa bude písomnos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ť považovať za prevzat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ú 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ňom potvrdenia jej prevzatia.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Čl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ánok IX.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ZÁVERE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ČN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É USTANOVENIA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77"/>
        </w:numPr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Zmluva nadobúda platnos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ť dňom jej podp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ísania zmluvnými stranami a 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činnosť dňom nasleduj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úcim po dni zverejnenia pod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ľa osobitn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ých predpisov. Ak nie je uvedené inak, Mandatár za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čne Poskytovateľ služby prv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ý pracovný de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ň po nadobudnut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činnosti. </w:t>
      </w:r>
    </w:p>
    <w:p>
      <w:pPr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79"/>
        </w:numPr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Právny vz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ťah založen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ý touto Zmluvou sa riadi touto Zmluvou a príslu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šn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ými stanoveniami Obchodného zákonníka.</w:t>
      </w:r>
    </w:p>
    <w:p>
      <w:pPr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81"/>
        </w:numPr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Túto Zmluvu je mo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 meni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ť a dopĺňať len so 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úhlasom oboch zmluvných strán, a to  výlu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čne č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íslovaným dodatkom v písomnej forme.</w:t>
      </w:r>
    </w:p>
    <w:p>
      <w:pPr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83"/>
        </w:numPr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Zmluvné strany sa dohodli,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že všetky spory, ktor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 medzi nimi vznikli alebo vzniknú na základe tejto Zmluvy alebo v súvislosti s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ňou, vr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átane sporov o jej platnosti a záväznosti a jej výklade, budú rozhodované pod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ľa 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ákona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č. 244/2002 Z.z. o rozhodcovskom konan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ďalej len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ZoRK“). Zmluvné strany sa dohodli,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že rozhodcovsk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ým súdom sa v zmysle § 7 ZoRK rozumie jediný rozhodca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ďalej len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rozhodcovsk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ý súd“ alebo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ustanoven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ý rozhodca“), ktorý bude ustanovený v zmysle § 6 ods. 3 ZoRK vybranou osobou, ktorou je spolo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čnosť IURO, s.r.o., so 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ídlom Mileti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čova 7, 821 08 Bratislava, IČO 35 979 011, zap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ísaná v obchodnom registri Okresného súdu Bratislava I, oddiel Sro, vlo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žka č. 39398/B (ďalej len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Vybran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 osoba“) v lehote 10 dní odo 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ňa začiatku rozhodcovsk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ého konania, z nasledovného zoznamu rozhodcov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ad hoc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“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: 1. JUDr. Michaela Kajabová, reg.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íslo SAK 5995, 2. Mgr. Michal Ridzo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ň, reg. č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íslo SAK 5449, 3. JUDr. Zsolt Hodosi, reg.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íslo SAK 4708, 4. Mgr. Peter Harga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š, reg. č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íslo SAK 6023, 5. Mgr. Zuzana Dohnanská, reg.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íslo SAK 3434, 6. JUDr. Alexander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Škrin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ár CSc., reg.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íslo SAK 2220, 7. Ing. Mgr. Peter Ková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č, reg. č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íslo SAK 6307. Vybraná osoba rozhoduje o námietke zaujatosti ustanoveného rozhodcu, o odvolaní ustanoveného rozhodcu z dôvodov uvedených v § 10 ods. 3 ZoRK a o ustanovení náhradného rozhodcu v zmysle § 11 ZoRK.</w:t>
      </w:r>
    </w:p>
    <w:p>
      <w:pPr>
        <w:spacing w:before="0" w:after="0" w:line="240"/>
        <w:ind w:right="0" w:left="426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Zmluvné strany sa dohodli,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že miestom rozhodcovsk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ého konania bude Mileti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čova 7, 821 08 Bratislava (ďalej len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adresa rozhodcovsk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ého konania“) a rozhodcovské konanie sa za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ína doru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čen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ím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žaloby Vybranej osobe na adresu rozhodcovsk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ého konania.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Ďalšie p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ísomnosti v priebehu rozhodcovského konania adresované rozhodcovskému súdu budú doru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čovan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 ustanovenému rozhodcovi na adresu rozhodcovského konania.   </w:t>
      </w:r>
    </w:p>
    <w:p>
      <w:pPr>
        <w:spacing w:before="0" w:after="0" w:line="240"/>
        <w:ind w:right="0" w:left="426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Zmluvné strany sa dohodli,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že jazyk, ktor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ý sa bude pou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íva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ť v rozhodcovskom konan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í, bude slovenský jazyk. Rozhodcovský súd  bude rozhodova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ť na 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áklade listinných dôkazov predlo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žen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ých 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častn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íkmi rozhodcovského konania. Ústne pojednávanie bude nariadené len výnimo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čne v pr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ípadoch, ak by bez vypo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čutia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častn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íkov rozhodcovského konania alebo nimi navrhnutých svedkov nebolo mo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 dostato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čne zistiť skutkov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ý stav pre spravodlivé rozhodnutie. Nariadenie ústneho pojednávania nie je nárokovate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ľn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é. Rozhodnutie rozhodcovského súdu je kone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 a nie je vo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či nemu pr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ípustné odvolanie.</w:t>
      </w:r>
    </w:p>
    <w:p>
      <w:pPr>
        <w:spacing w:before="0" w:after="0" w:line="240"/>
        <w:ind w:right="0" w:left="426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Poplatky sa v rozhodcovskom konaní uhrádzajú na základe písomnej výzvy rozhodcovského súdu. Poplatok za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žalobu predstavuje 4 % zo sumy, ktor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 je predmetom rozhodcovského konania, najmenej 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šak 166,00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€. V sporoch, v ktorých nemo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žno určiť hodnotu sporu, predstavuje poplatok za žalobu sumu 1.660,00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€. V prípade neuhradenia poplatku za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žalobu v lehote stanovenej rozhodcovsk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ým súdom bude rozhodcovské konanie rozhodcovským súdom zastavené. Poplatok za námietku zaujatosti ustanoveného rozhodcu predstavuje 500,00 €. Poplatok za námietku nedostatku právomoci rozhodcovského súdu kona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ť a rozhodn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ť predstavuje 1.000,00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€. V prípade neuhradenia poplatku za námietku zaujatosti alebo poplatku za námietku nedostatku právomoci rozhodcovského súdu v lehote stanovenej rozhodcovským súdom bude námietka rozhodcovským súdom odmietnutá v rozhodnutí, ktorým sa rozhodcovské konanie kon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í. Rozhodcovský súd mô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že v zmysle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§ 29 ZoRK ulo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žiť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častn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íkovi rozhodcovského konania povinnos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ť zložiť preddavok na trovy 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ím navrhnutého dôkazu, a to v lehote ur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čenej rozhodcovsk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ým súdom. Ak nebude preddavok na trovy navrhnutého dôkazu 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častn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íkom rozhodcovského konania zlo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žen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ý v lehote ur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čenej rozhodcovsk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ým súdom, rozhodcovský súd zamietne návrh na vykonanie daného dôkazu v rozhodnutí, ktorým sa rozhodcovské konanie kon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í. Rozhodcovský súd prizná 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častn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íkovi konania náhradu trov rozhodcovského konania pod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ľa pomeru jeho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úspechu vo veci, pri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čom trovami rozhodcovsk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ého konania sú 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šetky preuk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ázané, odôvodnené a 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čelne vynaložen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 výdavky, ktoré vzniknú v rozhodcovskom konaní v súvislosti s uplatnením alebo bránením práva, najmä hotové výdavky 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častn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íkov rozhodcovského konania a ich zástupcov, trovy na vykonanie dôkazov, poplatky za rozhodcovské konanie, odmena rozhodcovského súdu a jeho hotové výdavky, odmena znalca, odmena tlmo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íka a odmena za zastupovanie. O nároku na náhradu trov rozhodcovského konania rozhodne rozhodcovský súd v rozhodnutí, ktorým sa rozhodcovské konanie kon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í. </w:t>
      </w:r>
    </w:p>
    <w:p>
      <w:pPr>
        <w:spacing w:before="0" w:after="0" w:line="240"/>
        <w:ind w:right="0" w:left="426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Vo veciach neupravených v ZoRK sa v rozhodcovskom konaní primerane pou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žij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ú ustanovenia Civilného sporového poriadku, zákona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č. 71/1992 Zb. o 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údnych poplatkoch a poplatku za výpis z registra trestov v platnom znení, vyhlá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šky MS SR č. 655/2004 Z. z. o odmen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ách a náhradách advokátov za poskytovanie právnych slu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žieb v platnom znen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a vyhlá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šky MS SR č. 491/2004 Z. z. o odmen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ách, náhradách výdavkov a náhradách za stratu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času pre znalcov, tlmočn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íkov a prekladate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ľov v platnom znen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í..</w:t>
      </w:r>
    </w:p>
    <w:p>
      <w:pPr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widowControl w:val="false"/>
        <w:numPr>
          <w:ilvl w:val="0"/>
          <w:numId w:val="86"/>
        </w:numPr>
        <w:spacing w:before="0" w:after="160" w:line="259"/>
        <w:ind w:right="0" w:left="426" w:hanging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Táto Zmluva je vyhotovená v dvoch rovnopisoch, z ktorých Mandant obdr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jedno vyhotovenie a Mandatár jedno vyhotovenie.</w:t>
      </w:r>
    </w:p>
    <w:p>
      <w:pPr>
        <w:spacing w:before="0" w:after="0" w:line="240"/>
        <w:ind w:right="0" w:left="426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88"/>
        </w:numPr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Zmluvné strany prehlasujú,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že Zmluvu uzatvorili 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žne a slobodne, že ustanovenia zmluvy 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ú pre nich zrozumite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ľn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že si Zmluvu preč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ítali, porozumeli jej obsahu a na znak súhlasu ju vlastnoru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čne podp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ísali.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Mandant: </w:t>
        <w:tab/>
        <w:tab/>
        <w:tab/>
        <w:tab/>
        <w:tab/>
        <w:tab/>
        <w:t xml:space="preserve">Mandatár:</w:t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Ratnovce 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ňa</w:t>
        <w:tab/>
        <w:tab/>
        <w:tab/>
        <w:tab/>
        <w:tab/>
        <w:tab/>
        <w:t xml:space="preserve">Bratislava dňa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tbl>
      <w:tblPr/>
      <w:tblGrid>
        <w:gridCol w:w="3685"/>
        <w:gridCol w:w="251"/>
        <w:gridCol w:w="1275"/>
        <w:gridCol w:w="249"/>
        <w:gridCol w:w="3436"/>
        <w:gridCol w:w="249"/>
      </w:tblGrid>
      <w:tr>
        <w:trPr>
          <w:trHeight w:val="1" w:hRule="atLeast"/>
          <w:jc w:val="left"/>
        </w:trPr>
        <w:tc>
          <w:tcPr>
            <w:tcW w:w="368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26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85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936" w:type="dxa"/>
            <w:gridSpan w:val="2"/>
            <w:tcBorders>
              <w:top w:val="single" w:color="000000" w:sz="4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24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Obec Ratnovce</w:t>
            </w:r>
          </w:p>
          <w:p>
            <w:pPr>
              <w:tabs>
                <w:tab w:val="left" w:pos="1276" w:leader="none"/>
              </w:tabs>
              <w:spacing w:before="24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24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85" w:type="dxa"/>
            <w:gridSpan w:val="2"/>
            <w:tcBorders>
              <w:top w:val="single" w:color="000000" w:sz="4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24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STUDNICA, n.o.</w:t>
            </w:r>
          </w:p>
          <w:p>
            <w:pPr>
              <w:tabs>
                <w:tab w:val="left" w:pos="1276" w:leader="none"/>
              </w:tabs>
              <w:spacing w:before="24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ab/>
        <w:tab/>
        <w:tab/>
        <w:tab/>
        <w:tab/>
        <w:tab/>
        <w:tab/>
      </w:r>
    </w:p>
    <w:p>
      <w:pPr>
        <w:widowControl w:val="false"/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widowControl w:val="false"/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Príloha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č. 1 Označenie z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ákaziek verejného obstarávania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tbl>
      <w:tblPr/>
      <w:tblGrid>
        <w:gridCol w:w="396"/>
        <w:gridCol w:w="6237"/>
        <w:gridCol w:w="2917"/>
      </w:tblGrid>
      <w:tr>
        <w:trPr>
          <w:trHeight w:val="1" w:hRule="atLeast"/>
          <w:jc w:val="left"/>
        </w:trPr>
        <w:tc>
          <w:tcPr>
            <w:tcW w:w="3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Názovo zákazky</w:t>
            </w:r>
          </w:p>
        </w:tc>
        <w:tc>
          <w:tcPr>
            <w:tcW w:w="29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Spôsob postupu</w:t>
            </w:r>
          </w:p>
        </w:tc>
      </w:tr>
      <w:tr>
        <w:trPr>
          <w:trHeight w:val="1" w:hRule="atLeast"/>
          <w:jc w:val="left"/>
        </w:trPr>
        <w:tc>
          <w:tcPr>
            <w:tcW w:w="3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</w:t>
            </w:r>
          </w:p>
        </w:tc>
        <w:tc>
          <w:tcPr>
            <w:tcW w:w="62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9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Mandant: </w:t>
        <w:tab/>
        <w:tab/>
        <w:tab/>
        <w:tab/>
        <w:tab/>
        <w:tab/>
        <w:t xml:space="preserve">Mandatár:</w:t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Ratnovce 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ňa</w:t>
        <w:tab/>
        <w:tab/>
        <w:tab/>
        <w:tab/>
        <w:tab/>
        <w:tab/>
        <w:t xml:space="preserve">Bratislava dňa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tbl>
      <w:tblPr/>
      <w:tblGrid>
        <w:gridCol w:w="3685"/>
        <w:gridCol w:w="251"/>
        <w:gridCol w:w="1275"/>
        <w:gridCol w:w="249"/>
        <w:gridCol w:w="3436"/>
        <w:gridCol w:w="249"/>
      </w:tblGrid>
      <w:tr>
        <w:trPr>
          <w:trHeight w:val="1" w:hRule="atLeast"/>
          <w:jc w:val="left"/>
        </w:trPr>
        <w:tc>
          <w:tcPr>
            <w:tcW w:w="368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26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85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936" w:type="dxa"/>
            <w:gridSpan w:val="2"/>
            <w:tcBorders>
              <w:top w:val="single" w:color="000000" w:sz="4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24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Obec Ratnovce</w:t>
            </w:r>
          </w:p>
          <w:p>
            <w:pPr>
              <w:tabs>
                <w:tab w:val="left" w:pos="1276" w:leader="none"/>
              </w:tabs>
              <w:spacing w:before="24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24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85" w:type="dxa"/>
            <w:gridSpan w:val="2"/>
            <w:tcBorders>
              <w:top w:val="single" w:color="000000" w:sz="4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24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STUDNICA, n.o.</w:t>
            </w:r>
          </w:p>
          <w:p>
            <w:pPr>
              <w:tabs>
                <w:tab w:val="left" w:pos="1276" w:leader="none"/>
              </w:tabs>
              <w:spacing w:before="24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ab/>
        <w:tab/>
        <w:tab/>
        <w:tab/>
        <w:tab/>
        <w:tab/>
        <w:tab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abstractNum w:abstractNumId="90">
    <w:lvl w:ilvl="0">
      <w:start w:val="1"/>
      <w:numFmt w:val="bullet"/>
      <w:lvlText w:val="•"/>
    </w:lvl>
  </w:abstractNum>
  <w:abstractNum w:abstractNumId="96">
    <w:lvl w:ilvl="0">
      <w:start w:val="1"/>
      <w:numFmt w:val="bullet"/>
      <w:lvlText w:val="•"/>
    </w:lvl>
  </w:abstractNum>
  <w:abstractNum w:abstractNumId="102">
    <w:lvl w:ilvl="0">
      <w:start w:val="1"/>
      <w:numFmt w:val="bullet"/>
      <w:lvlText w:val="•"/>
    </w:lvl>
  </w:abstractNum>
  <w:abstractNum w:abstractNumId="108">
    <w:lvl w:ilvl="0">
      <w:start w:val="1"/>
      <w:numFmt w:val="bullet"/>
      <w:lvlText w:val="•"/>
    </w:lvl>
  </w:abstractNum>
  <w:abstractNum w:abstractNumId="114">
    <w:lvl w:ilvl="0">
      <w:start w:val="1"/>
      <w:numFmt w:val="bullet"/>
      <w:lvlText w:val="•"/>
    </w:lvl>
  </w:abstractNum>
  <w:abstractNum w:abstractNumId="120">
    <w:lvl w:ilvl="0">
      <w:start w:val="1"/>
      <w:numFmt w:val="bullet"/>
      <w:lvlText w:val="•"/>
    </w:lvl>
  </w:abstractNum>
  <w:abstractNum w:abstractNumId="126">
    <w:lvl w:ilvl="0">
      <w:start w:val="1"/>
      <w:numFmt w:val="bullet"/>
      <w:lvlText w:val="•"/>
    </w:lvl>
  </w:abstractNum>
  <w:abstractNum w:abstractNumId="132">
    <w:lvl w:ilvl="0">
      <w:start w:val="1"/>
      <w:numFmt w:val="bullet"/>
      <w:lvlText w:val="•"/>
    </w:lvl>
  </w:abstractNum>
  <w:abstractNum w:abstractNumId="138">
    <w:lvl w:ilvl="0">
      <w:start w:val="1"/>
      <w:numFmt w:val="bullet"/>
      <w:lvlText w:val="•"/>
    </w:lvl>
  </w:abstractNum>
  <w:abstractNum w:abstractNumId="144">
    <w:lvl w:ilvl="0">
      <w:start w:val="1"/>
      <w:numFmt w:val="bullet"/>
      <w:lvlText w:val="•"/>
    </w:lvl>
  </w:abstractNum>
  <w:abstractNum w:abstractNumId="150">
    <w:lvl w:ilvl="0">
      <w:start w:val="1"/>
      <w:numFmt w:val="bullet"/>
      <w:lvlText w:val="•"/>
    </w:lvl>
  </w:abstractNum>
  <w:abstractNum w:abstractNumId="156">
    <w:lvl w:ilvl="0">
      <w:start w:val="1"/>
      <w:numFmt w:val="bullet"/>
      <w:lvlText w:val="•"/>
    </w:lvl>
  </w:abstractNum>
  <w:abstractNum w:abstractNumId="162">
    <w:lvl w:ilvl="0">
      <w:start w:val="1"/>
      <w:numFmt w:val="bullet"/>
      <w:lvlText w:val="•"/>
    </w:lvl>
  </w:abstractNum>
  <w:abstractNum w:abstractNumId="168">
    <w:lvl w:ilvl="0">
      <w:start w:val="1"/>
      <w:numFmt w:val="bullet"/>
      <w:lvlText w:val="•"/>
    </w:lvl>
  </w:abstractNum>
  <w:abstractNum w:abstractNumId="174">
    <w:lvl w:ilvl="0">
      <w:start w:val="1"/>
      <w:numFmt w:val="bullet"/>
      <w:lvlText w:val="•"/>
    </w:lvl>
  </w:abstractNum>
  <w:abstractNum w:abstractNumId="180">
    <w:lvl w:ilvl="0">
      <w:start w:val="1"/>
      <w:numFmt w:val="bullet"/>
      <w:lvlText w:val="•"/>
    </w:lvl>
  </w:abstractNum>
  <w:abstractNum w:abstractNumId="186">
    <w:lvl w:ilvl="0">
      <w:start w:val="1"/>
      <w:numFmt w:val="bullet"/>
      <w:lvlText w:val="•"/>
    </w:lvl>
  </w:abstractNum>
  <w:abstractNum w:abstractNumId="192">
    <w:lvl w:ilvl="0">
      <w:start w:val="1"/>
      <w:numFmt w:val="bullet"/>
      <w:lvlText w:val="•"/>
    </w:lvl>
  </w:abstractNum>
  <w:abstractNum w:abstractNumId="198">
    <w:lvl w:ilvl="0">
      <w:start w:val="1"/>
      <w:numFmt w:val="bullet"/>
      <w:lvlText w:val="•"/>
    </w:lvl>
  </w:abstractNum>
  <w:abstractNum w:abstractNumId="204">
    <w:lvl w:ilvl="0">
      <w:start w:val="1"/>
      <w:numFmt w:val="bullet"/>
      <w:lvlText w:val="•"/>
    </w:lvl>
  </w:abstractNum>
  <w:num w:numId="2">
    <w:abstractNumId w:val="204"/>
  </w:num>
  <w:num w:numId="4">
    <w:abstractNumId w:val="198"/>
  </w:num>
  <w:num w:numId="10">
    <w:abstractNumId w:val="192"/>
  </w:num>
  <w:num w:numId="12">
    <w:abstractNumId w:val="186"/>
  </w:num>
  <w:num w:numId="16">
    <w:abstractNumId w:val="180"/>
  </w:num>
  <w:num w:numId="18">
    <w:abstractNumId w:val="174"/>
  </w:num>
  <w:num w:numId="20">
    <w:abstractNumId w:val="168"/>
  </w:num>
  <w:num w:numId="22">
    <w:abstractNumId w:val="162"/>
  </w:num>
  <w:num w:numId="25">
    <w:abstractNumId w:val="156"/>
  </w:num>
  <w:num w:numId="29">
    <w:abstractNumId w:val="150"/>
  </w:num>
  <w:num w:numId="31">
    <w:abstractNumId w:val="144"/>
  </w:num>
  <w:num w:numId="33">
    <w:abstractNumId w:val="138"/>
  </w:num>
  <w:num w:numId="35">
    <w:abstractNumId w:val="132"/>
  </w:num>
  <w:num w:numId="37">
    <w:abstractNumId w:val="126"/>
  </w:num>
  <w:num w:numId="39">
    <w:abstractNumId w:val="120"/>
  </w:num>
  <w:num w:numId="41">
    <w:abstractNumId w:val="114"/>
  </w:num>
  <w:num w:numId="43">
    <w:abstractNumId w:val="108"/>
  </w:num>
  <w:num w:numId="45">
    <w:abstractNumId w:val="102"/>
  </w:num>
  <w:num w:numId="47">
    <w:abstractNumId w:val="96"/>
  </w:num>
  <w:num w:numId="49">
    <w:abstractNumId w:val="90"/>
  </w:num>
  <w:num w:numId="53">
    <w:abstractNumId w:val="84"/>
  </w:num>
  <w:num w:numId="55">
    <w:abstractNumId w:val="78"/>
  </w:num>
  <w:num w:numId="57">
    <w:abstractNumId w:val="72"/>
  </w:num>
  <w:num w:numId="61">
    <w:abstractNumId w:val="66"/>
  </w:num>
  <w:num w:numId="63">
    <w:abstractNumId w:val="60"/>
  </w:num>
  <w:num w:numId="65">
    <w:abstractNumId w:val="54"/>
  </w:num>
  <w:num w:numId="69">
    <w:abstractNumId w:val="48"/>
  </w:num>
  <w:num w:numId="71">
    <w:abstractNumId w:val="42"/>
  </w:num>
  <w:num w:numId="73">
    <w:abstractNumId w:val="36"/>
  </w:num>
  <w:num w:numId="77">
    <w:abstractNumId w:val="30"/>
  </w:num>
  <w:num w:numId="79">
    <w:abstractNumId w:val="24"/>
  </w:num>
  <w:num w:numId="81">
    <w:abstractNumId w:val="18"/>
  </w:num>
  <w:num w:numId="83">
    <w:abstractNumId w:val="12"/>
  </w:num>
  <w:num w:numId="86">
    <w:abstractNumId w:val="6"/>
  </w:num>
  <w:num w:numId="8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